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February 2016</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Dear Parent</w:t>
      </w:r>
    </w:p>
    <w:p>
      <w:pPr>
        <w:jc w:val="both"/>
        <w:rPr>
          <w:rFonts w:ascii="Arial" w:hAnsi="Arial" w:cs="Arial"/>
          <w:sz w:val="20"/>
          <w:szCs w:val="20"/>
        </w:rPr>
      </w:pPr>
    </w:p>
    <w:p>
      <w:pPr>
        <w:rPr>
          <w:rFonts w:ascii="Arial" w:hAnsi="Arial" w:cs="Arial"/>
          <w:b/>
          <w:sz w:val="20"/>
          <w:szCs w:val="20"/>
        </w:rPr>
      </w:pPr>
      <w:r>
        <w:rPr>
          <w:rFonts w:ascii="Arial" w:hAnsi="Arial" w:cs="Arial"/>
          <w:b/>
          <w:sz w:val="20"/>
          <w:szCs w:val="20"/>
        </w:rPr>
        <w:t xml:space="preserve">GCSE Support Programme - February Half Term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 am writing to inform you that during the February half term holiday, the school will be holding intervention days, in order to support your child in reaching their target grades.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The intervention days will take place on Monday 15</w:t>
      </w:r>
      <w:r>
        <w:rPr>
          <w:rFonts w:ascii="Arial" w:hAnsi="Arial" w:cs="Arial"/>
          <w:sz w:val="20"/>
          <w:szCs w:val="20"/>
          <w:vertAlign w:val="superscript"/>
        </w:rPr>
        <w:t>th</w:t>
      </w:r>
      <w:r>
        <w:rPr>
          <w:rFonts w:ascii="Arial" w:hAnsi="Arial" w:cs="Arial"/>
          <w:sz w:val="20"/>
          <w:szCs w:val="20"/>
        </w:rPr>
        <w:t xml:space="preserve"> and Tuesday 16</w:t>
      </w:r>
      <w:r>
        <w:rPr>
          <w:rFonts w:ascii="Arial" w:hAnsi="Arial" w:cs="Arial"/>
          <w:sz w:val="20"/>
          <w:szCs w:val="20"/>
          <w:vertAlign w:val="superscript"/>
        </w:rPr>
        <w:t>th</w:t>
      </w:r>
      <w:r>
        <w:rPr>
          <w:rFonts w:ascii="Arial" w:hAnsi="Arial" w:cs="Arial"/>
          <w:sz w:val="20"/>
          <w:szCs w:val="20"/>
        </w:rPr>
        <w:t xml:space="preserve"> February 2016. Please note the different timings for each day.  Teaching staff will supervise the days offering help and advice.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Your child has been asked to attend the following highlighted session:</w:t>
      </w:r>
      <w:bookmarkStart w:id="0" w:name="_GoBack"/>
      <w:bookmarkEnd w:id="0"/>
    </w:p>
    <w:p>
      <w:pPr>
        <w:jc w:val="both"/>
        <w:rPr>
          <w:rFonts w:ascii="Arial" w:hAnsi="Arial" w:cs="Arial"/>
          <w:sz w:val="20"/>
          <w:szCs w:val="20"/>
        </w:rPr>
      </w:pPr>
    </w:p>
    <w:tbl>
      <w:tblPr>
        <w:tblStyle w:val="TableGrid"/>
        <w:tblW w:w="5000" w:type="pct"/>
        <w:tblLook w:val="04A0" w:firstRow="1" w:lastRow="0" w:firstColumn="1" w:lastColumn="0" w:noHBand="0" w:noVBand="1"/>
      </w:tblPr>
      <w:tblGrid>
        <w:gridCol w:w="3209"/>
        <w:gridCol w:w="3209"/>
        <w:gridCol w:w="3210"/>
      </w:tblGrid>
      <w:tr>
        <w:tc>
          <w:tcPr>
            <w:tcW w:w="1666" w:type="pct"/>
          </w:tcPr>
          <w:p>
            <w:pPr>
              <w:rPr>
                <w:rFonts w:ascii="Arial" w:hAnsi="Arial" w:cs="Arial"/>
                <w:b/>
                <w:sz w:val="20"/>
                <w:szCs w:val="20"/>
              </w:rPr>
            </w:pPr>
            <w:r>
              <w:rPr>
                <w:rFonts w:ascii="Arial" w:hAnsi="Arial" w:cs="Arial"/>
                <w:b/>
                <w:sz w:val="20"/>
                <w:szCs w:val="20"/>
              </w:rPr>
              <w:t>Monday 15</w:t>
            </w:r>
            <w:r>
              <w:rPr>
                <w:rFonts w:ascii="Arial" w:hAnsi="Arial" w:cs="Arial"/>
                <w:b/>
                <w:sz w:val="20"/>
                <w:szCs w:val="20"/>
                <w:vertAlign w:val="superscript"/>
              </w:rPr>
              <w:t>th</w:t>
            </w:r>
            <w:r>
              <w:rPr>
                <w:rFonts w:ascii="Arial" w:hAnsi="Arial" w:cs="Arial"/>
                <w:b/>
                <w:sz w:val="20"/>
                <w:szCs w:val="20"/>
              </w:rPr>
              <w:t xml:space="preserve"> February</w:t>
            </w:r>
          </w:p>
        </w:tc>
        <w:tc>
          <w:tcPr>
            <w:tcW w:w="1666" w:type="pct"/>
          </w:tcPr>
          <w:p>
            <w:pPr>
              <w:rPr>
                <w:rFonts w:ascii="Arial" w:hAnsi="Arial" w:cs="Arial"/>
                <w:b/>
                <w:sz w:val="20"/>
                <w:szCs w:val="20"/>
              </w:rPr>
            </w:pPr>
            <w:r>
              <w:rPr>
                <w:rFonts w:ascii="Arial" w:hAnsi="Arial" w:cs="Arial"/>
                <w:b/>
                <w:sz w:val="20"/>
                <w:szCs w:val="20"/>
              </w:rPr>
              <w:t>Subject</w:t>
            </w:r>
          </w:p>
        </w:tc>
        <w:tc>
          <w:tcPr>
            <w:tcW w:w="1667" w:type="pct"/>
          </w:tcPr>
          <w:p>
            <w:pPr>
              <w:rPr>
                <w:rFonts w:ascii="Arial" w:hAnsi="Arial" w:cs="Arial"/>
                <w:b/>
                <w:sz w:val="20"/>
                <w:szCs w:val="20"/>
              </w:rPr>
            </w:pPr>
            <w:r>
              <w:rPr>
                <w:rFonts w:ascii="Arial" w:hAnsi="Arial" w:cs="Arial"/>
                <w:b/>
                <w:sz w:val="20"/>
                <w:szCs w:val="20"/>
              </w:rPr>
              <w:t>Room</w:t>
            </w:r>
          </w:p>
        </w:tc>
      </w:tr>
      <w:tr>
        <w:tc>
          <w:tcPr>
            <w:tcW w:w="1666" w:type="pct"/>
            <w:shd w:val="clear" w:color="auto" w:fill="FFFF00"/>
          </w:tcPr>
          <w:p>
            <w:pPr>
              <w:rPr>
                <w:rFonts w:ascii="Arial" w:hAnsi="Arial" w:cs="Arial"/>
                <w:sz w:val="20"/>
                <w:szCs w:val="20"/>
              </w:rPr>
            </w:pPr>
            <w:r>
              <w:rPr>
                <w:rFonts w:ascii="Arial" w:hAnsi="Arial" w:cs="Arial"/>
                <w:sz w:val="20"/>
                <w:szCs w:val="20"/>
              </w:rPr>
              <w:t>9am – 12noon</w:t>
            </w:r>
          </w:p>
        </w:tc>
        <w:tc>
          <w:tcPr>
            <w:tcW w:w="1666" w:type="pct"/>
            <w:shd w:val="clear" w:color="auto" w:fill="FFFF00"/>
          </w:tcPr>
          <w:p>
            <w:pPr>
              <w:rPr>
                <w:rFonts w:ascii="Arial" w:hAnsi="Arial" w:cs="Arial"/>
                <w:sz w:val="20"/>
                <w:szCs w:val="20"/>
              </w:rPr>
            </w:pPr>
            <w:r>
              <w:rPr>
                <w:rFonts w:ascii="Arial" w:hAnsi="Arial" w:cs="Arial"/>
                <w:sz w:val="20"/>
                <w:szCs w:val="20"/>
              </w:rPr>
              <w:t>English Literature</w:t>
            </w:r>
          </w:p>
        </w:tc>
        <w:tc>
          <w:tcPr>
            <w:tcW w:w="1667" w:type="pct"/>
            <w:shd w:val="clear" w:color="auto" w:fill="FFFF00"/>
          </w:tcPr>
          <w:p>
            <w:pPr>
              <w:rPr>
                <w:rFonts w:ascii="Arial" w:hAnsi="Arial" w:cs="Arial"/>
                <w:sz w:val="20"/>
                <w:szCs w:val="20"/>
              </w:rPr>
            </w:pPr>
            <w:r>
              <w:rPr>
                <w:rFonts w:ascii="Arial" w:hAnsi="Arial" w:cs="Arial"/>
                <w:sz w:val="20"/>
                <w:szCs w:val="20"/>
              </w:rPr>
              <w:t xml:space="preserve">Learning Zone / Activity Studio </w:t>
            </w:r>
          </w:p>
        </w:tc>
      </w:tr>
      <w:tr>
        <w:tc>
          <w:tcPr>
            <w:tcW w:w="1666" w:type="pct"/>
          </w:tcPr>
          <w:p>
            <w:pPr>
              <w:rPr>
                <w:rFonts w:ascii="Arial" w:hAnsi="Arial" w:cs="Arial"/>
                <w:sz w:val="20"/>
                <w:szCs w:val="20"/>
              </w:rPr>
            </w:pPr>
            <w:r>
              <w:rPr>
                <w:rFonts w:ascii="Arial" w:hAnsi="Arial" w:cs="Arial"/>
                <w:sz w:val="20"/>
                <w:szCs w:val="20"/>
              </w:rPr>
              <w:t>12noon – 12:30pm</w:t>
            </w:r>
          </w:p>
        </w:tc>
        <w:tc>
          <w:tcPr>
            <w:tcW w:w="1666" w:type="pct"/>
          </w:tcPr>
          <w:p>
            <w:pPr>
              <w:rPr>
                <w:rFonts w:ascii="Arial" w:hAnsi="Arial" w:cs="Arial"/>
                <w:sz w:val="20"/>
                <w:szCs w:val="20"/>
              </w:rPr>
            </w:pPr>
            <w:r>
              <w:rPr>
                <w:rFonts w:ascii="Arial" w:hAnsi="Arial" w:cs="Arial"/>
                <w:sz w:val="20"/>
                <w:szCs w:val="20"/>
              </w:rPr>
              <w:t>Lunch in Panini Bar</w:t>
            </w:r>
          </w:p>
        </w:tc>
        <w:tc>
          <w:tcPr>
            <w:tcW w:w="1667" w:type="pct"/>
          </w:tcPr>
          <w:p>
            <w:pPr>
              <w:rPr>
                <w:rFonts w:ascii="Arial" w:hAnsi="Arial" w:cs="Arial"/>
                <w:sz w:val="20"/>
                <w:szCs w:val="20"/>
              </w:rPr>
            </w:pPr>
            <w:r>
              <w:rPr>
                <w:rFonts w:ascii="Arial" w:hAnsi="Arial" w:cs="Arial"/>
                <w:sz w:val="20"/>
                <w:szCs w:val="20"/>
              </w:rPr>
              <w:t>Panini Bar</w:t>
            </w:r>
          </w:p>
        </w:tc>
      </w:tr>
      <w:tr>
        <w:tc>
          <w:tcPr>
            <w:tcW w:w="1666" w:type="pct"/>
          </w:tcPr>
          <w:p>
            <w:pPr>
              <w:rPr>
                <w:rFonts w:ascii="Arial" w:hAnsi="Arial" w:cs="Arial"/>
                <w:sz w:val="20"/>
                <w:szCs w:val="20"/>
              </w:rPr>
            </w:pPr>
            <w:r>
              <w:rPr>
                <w:rFonts w:ascii="Arial" w:hAnsi="Arial" w:cs="Arial"/>
                <w:sz w:val="20"/>
                <w:szCs w:val="20"/>
              </w:rPr>
              <w:t>12:30pm – 2:30pm</w:t>
            </w:r>
          </w:p>
        </w:tc>
        <w:tc>
          <w:tcPr>
            <w:tcW w:w="1666" w:type="pct"/>
          </w:tcPr>
          <w:p>
            <w:pPr>
              <w:rPr>
                <w:rFonts w:ascii="Arial" w:hAnsi="Arial" w:cs="Arial"/>
                <w:sz w:val="20"/>
                <w:szCs w:val="20"/>
              </w:rPr>
            </w:pPr>
            <w:r>
              <w:rPr>
                <w:rFonts w:ascii="Arial" w:hAnsi="Arial" w:cs="Arial"/>
                <w:sz w:val="20"/>
                <w:szCs w:val="20"/>
              </w:rPr>
              <w:t>Maths</w:t>
            </w:r>
          </w:p>
        </w:tc>
        <w:tc>
          <w:tcPr>
            <w:tcW w:w="1667" w:type="pct"/>
          </w:tcPr>
          <w:p>
            <w:pPr>
              <w:rPr>
                <w:rFonts w:ascii="Arial" w:hAnsi="Arial" w:cs="Arial"/>
                <w:sz w:val="20"/>
                <w:szCs w:val="20"/>
              </w:rPr>
            </w:pPr>
            <w:r>
              <w:rPr>
                <w:rFonts w:ascii="Arial" w:hAnsi="Arial" w:cs="Arial"/>
                <w:sz w:val="20"/>
                <w:szCs w:val="20"/>
              </w:rPr>
              <w:t>Maths corridor</w:t>
            </w:r>
          </w:p>
        </w:tc>
      </w:tr>
    </w:tbl>
    <w:p>
      <w:pPr>
        <w:jc w:val="both"/>
        <w:rPr>
          <w:rFonts w:ascii="Arial" w:hAnsi="Arial" w:cs="Arial"/>
          <w:sz w:val="20"/>
          <w:szCs w:val="20"/>
        </w:rPr>
      </w:pPr>
    </w:p>
    <w:tbl>
      <w:tblPr>
        <w:tblStyle w:val="TableGrid"/>
        <w:tblW w:w="5000" w:type="pct"/>
        <w:tblLook w:val="04A0" w:firstRow="1" w:lastRow="0" w:firstColumn="1" w:lastColumn="0" w:noHBand="0" w:noVBand="1"/>
      </w:tblPr>
      <w:tblGrid>
        <w:gridCol w:w="3209"/>
        <w:gridCol w:w="3209"/>
        <w:gridCol w:w="3210"/>
      </w:tblGrid>
      <w:tr>
        <w:tc>
          <w:tcPr>
            <w:tcW w:w="1666" w:type="pct"/>
          </w:tcPr>
          <w:p>
            <w:pPr>
              <w:rPr>
                <w:rFonts w:ascii="Arial" w:hAnsi="Arial" w:cs="Arial"/>
                <w:b/>
                <w:sz w:val="20"/>
                <w:szCs w:val="20"/>
              </w:rPr>
            </w:pPr>
            <w:r>
              <w:rPr>
                <w:rFonts w:ascii="Arial" w:hAnsi="Arial" w:cs="Arial"/>
                <w:b/>
                <w:sz w:val="20"/>
                <w:szCs w:val="20"/>
              </w:rPr>
              <w:t>Tuesday 16</w:t>
            </w:r>
            <w:r>
              <w:rPr>
                <w:rFonts w:ascii="Arial" w:hAnsi="Arial" w:cs="Arial"/>
                <w:b/>
                <w:sz w:val="20"/>
                <w:szCs w:val="20"/>
                <w:vertAlign w:val="superscript"/>
              </w:rPr>
              <w:t>th</w:t>
            </w:r>
            <w:r>
              <w:rPr>
                <w:rFonts w:ascii="Arial" w:hAnsi="Arial" w:cs="Arial"/>
                <w:b/>
                <w:sz w:val="20"/>
                <w:szCs w:val="20"/>
              </w:rPr>
              <w:t xml:space="preserve"> February</w:t>
            </w:r>
          </w:p>
        </w:tc>
        <w:tc>
          <w:tcPr>
            <w:tcW w:w="1666" w:type="pct"/>
          </w:tcPr>
          <w:p>
            <w:pPr>
              <w:rPr>
                <w:rFonts w:ascii="Arial" w:hAnsi="Arial" w:cs="Arial"/>
                <w:b/>
                <w:sz w:val="20"/>
                <w:szCs w:val="20"/>
              </w:rPr>
            </w:pPr>
            <w:r>
              <w:rPr>
                <w:rFonts w:ascii="Arial" w:hAnsi="Arial" w:cs="Arial"/>
                <w:b/>
                <w:sz w:val="20"/>
                <w:szCs w:val="20"/>
              </w:rPr>
              <w:t>Subject</w:t>
            </w:r>
          </w:p>
        </w:tc>
        <w:tc>
          <w:tcPr>
            <w:tcW w:w="1667" w:type="pct"/>
          </w:tcPr>
          <w:p>
            <w:pPr>
              <w:rPr>
                <w:rFonts w:ascii="Arial" w:hAnsi="Arial" w:cs="Arial"/>
                <w:b/>
                <w:sz w:val="20"/>
                <w:szCs w:val="20"/>
              </w:rPr>
            </w:pPr>
            <w:r>
              <w:rPr>
                <w:rFonts w:ascii="Arial" w:hAnsi="Arial" w:cs="Arial"/>
                <w:b/>
                <w:sz w:val="20"/>
                <w:szCs w:val="20"/>
              </w:rPr>
              <w:t>Room</w:t>
            </w:r>
          </w:p>
        </w:tc>
      </w:tr>
      <w:tr>
        <w:tc>
          <w:tcPr>
            <w:tcW w:w="1666" w:type="pct"/>
          </w:tcPr>
          <w:p>
            <w:pPr>
              <w:rPr>
                <w:rFonts w:ascii="Arial" w:hAnsi="Arial" w:cs="Arial"/>
                <w:sz w:val="20"/>
                <w:szCs w:val="20"/>
              </w:rPr>
            </w:pPr>
            <w:r>
              <w:rPr>
                <w:rFonts w:ascii="Arial" w:hAnsi="Arial" w:cs="Arial"/>
                <w:sz w:val="20"/>
                <w:szCs w:val="20"/>
              </w:rPr>
              <w:t>9am –1pm</w:t>
            </w:r>
          </w:p>
        </w:tc>
        <w:tc>
          <w:tcPr>
            <w:tcW w:w="1666" w:type="pct"/>
          </w:tcPr>
          <w:p>
            <w:pPr>
              <w:rPr>
                <w:rFonts w:ascii="Arial" w:hAnsi="Arial" w:cs="Arial"/>
                <w:sz w:val="20"/>
                <w:szCs w:val="20"/>
              </w:rPr>
            </w:pPr>
            <w:r>
              <w:rPr>
                <w:rFonts w:ascii="Arial" w:hAnsi="Arial" w:cs="Arial"/>
                <w:sz w:val="20"/>
                <w:szCs w:val="20"/>
              </w:rPr>
              <w:t>Art</w:t>
            </w:r>
          </w:p>
        </w:tc>
        <w:tc>
          <w:tcPr>
            <w:tcW w:w="1667" w:type="pct"/>
          </w:tcPr>
          <w:p>
            <w:pPr>
              <w:rPr>
                <w:rFonts w:ascii="Arial" w:hAnsi="Arial" w:cs="Arial"/>
                <w:sz w:val="20"/>
                <w:szCs w:val="20"/>
              </w:rPr>
            </w:pPr>
            <w:r>
              <w:rPr>
                <w:rFonts w:ascii="Arial" w:hAnsi="Arial" w:cs="Arial"/>
                <w:sz w:val="20"/>
                <w:szCs w:val="20"/>
              </w:rPr>
              <w:t>AR1</w:t>
            </w:r>
          </w:p>
        </w:tc>
      </w:tr>
      <w:tr>
        <w:tc>
          <w:tcPr>
            <w:tcW w:w="1666" w:type="pct"/>
          </w:tcPr>
          <w:p>
            <w:pPr>
              <w:rPr>
                <w:rFonts w:ascii="Arial" w:hAnsi="Arial" w:cs="Arial"/>
                <w:sz w:val="20"/>
                <w:szCs w:val="20"/>
              </w:rPr>
            </w:pPr>
            <w:r>
              <w:rPr>
                <w:rFonts w:ascii="Arial" w:hAnsi="Arial" w:cs="Arial"/>
                <w:sz w:val="20"/>
                <w:szCs w:val="20"/>
              </w:rPr>
              <w:t>9am –1pm</w:t>
            </w:r>
          </w:p>
        </w:tc>
        <w:tc>
          <w:tcPr>
            <w:tcW w:w="1666" w:type="pct"/>
          </w:tcPr>
          <w:p>
            <w:pPr>
              <w:rPr>
                <w:rFonts w:ascii="Arial" w:hAnsi="Arial" w:cs="Arial"/>
                <w:sz w:val="20"/>
                <w:szCs w:val="20"/>
              </w:rPr>
            </w:pPr>
            <w:r>
              <w:rPr>
                <w:rFonts w:ascii="Arial" w:hAnsi="Arial" w:cs="Arial"/>
                <w:sz w:val="20"/>
                <w:szCs w:val="20"/>
              </w:rPr>
              <w:t>PE BTEC</w:t>
            </w:r>
          </w:p>
        </w:tc>
        <w:tc>
          <w:tcPr>
            <w:tcW w:w="1667" w:type="pct"/>
          </w:tcPr>
          <w:p>
            <w:pPr>
              <w:rPr>
                <w:rFonts w:ascii="Arial" w:hAnsi="Arial" w:cs="Arial"/>
                <w:sz w:val="20"/>
                <w:szCs w:val="20"/>
              </w:rPr>
            </w:pPr>
            <w:r>
              <w:rPr>
                <w:rFonts w:ascii="Arial" w:hAnsi="Arial" w:cs="Arial"/>
                <w:sz w:val="20"/>
                <w:szCs w:val="20"/>
              </w:rPr>
              <w:t>C4</w:t>
            </w:r>
          </w:p>
        </w:tc>
      </w:tr>
      <w:tr>
        <w:tc>
          <w:tcPr>
            <w:tcW w:w="1666" w:type="pct"/>
          </w:tcPr>
          <w:p>
            <w:pPr>
              <w:rPr>
                <w:rFonts w:ascii="Arial" w:hAnsi="Arial" w:cs="Arial"/>
                <w:sz w:val="20"/>
                <w:szCs w:val="20"/>
              </w:rPr>
            </w:pPr>
            <w:r>
              <w:rPr>
                <w:rFonts w:ascii="Arial" w:hAnsi="Arial" w:cs="Arial"/>
                <w:sz w:val="20"/>
                <w:szCs w:val="20"/>
              </w:rPr>
              <w:t>9am –1pm</w:t>
            </w:r>
          </w:p>
        </w:tc>
        <w:tc>
          <w:tcPr>
            <w:tcW w:w="1666" w:type="pct"/>
          </w:tcPr>
          <w:p>
            <w:pPr>
              <w:rPr>
                <w:rFonts w:ascii="Arial" w:hAnsi="Arial" w:cs="Arial"/>
                <w:sz w:val="20"/>
                <w:szCs w:val="20"/>
              </w:rPr>
            </w:pPr>
            <w:r>
              <w:rPr>
                <w:rFonts w:ascii="Arial" w:hAnsi="Arial" w:cs="Arial"/>
                <w:sz w:val="20"/>
                <w:szCs w:val="20"/>
              </w:rPr>
              <w:t>DT</w:t>
            </w:r>
          </w:p>
        </w:tc>
        <w:tc>
          <w:tcPr>
            <w:tcW w:w="1667" w:type="pct"/>
          </w:tcPr>
          <w:p>
            <w:pPr>
              <w:rPr>
                <w:rFonts w:ascii="Arial" w:hAnsi="Arial" w:cs="Arial"/>
                <w:sz w:val="20"/>
                <w:szCs w:val="20"/>
              </w:rPr>
            </w:pPr>
            <w:r>
              <w:rPr>
                <w:rFonts w:ascii="Arial" w:hAnsi="Arial" w:cs="Arial"/>
                <w:sz w:val="20"/>
                <w:szCs w:val="20"/>
              </w:rPr>
              <w:t>Textiles</w:t>
            </w:r>
          </w:p>
          <w:p>
            <w:pPr>
              <w:rPr>
                <w:rFonts w:ascii="Arial" w:hAnsi="Arial" w:cs="Arial"/>
                <w:sz w:val="20"/>
                <w:szCs w:val="20"/>
              </w:rPr>
            </w:pPr>
            <w:r>
              <w:rPr>
                <w:rFonts w:ascii="Arial" w:hAnsi="Arial" w:cs="Arial"/>
                <w:sz w:val="20"/>
                <w:szCs w:val="20"/>
              </w:rPr>
              <w:t>RM</w:t>
            </w:r>
          </w:p>
          <w:p>
            <w:pPr>
              <w:rPr>
                <w:rFonts w:ascii="Arial" w:hAnsi="Arial" w:cs="Arial"/>
                <w:sz w:val="20"/>
                <w:szCs w:val="20"/>
              </w:rPr>
            </w:pPr>
            <w:r>
              <w:rPr>
                <w:rFonts w:ascii="Arial" w:hAnsi="Arial" w:cs="Arial"/>
                <w:sz w:val="20"/>
                <w:szCs w:val="20"/>
              </w:rPr>
              <w:t>Graphics</w:t>
            </w:r>
          </w:p>
          <w:p>
            <w:pPr>
              <w:rPr>
                <w:rFonts w:ascii="Arial" w:hAnsi="Arial" w:cs="Arial"/>
                <w:sz w:val="20"/>
                <w:szCs w:val="20"/>
              </w:rPr>
            </w:pPr>
            <w:r>
              <w:rPr>
                <w:rFonts w:ascii="Arial" w:hAnsi="Arial" w:cs="Arial"/>
                <w:sz w:val="20"/>
                <w:szCs w:val="20"/>
              </w:rPr>
              <w:t>Engineering</w:t>
            </w:r>
          </w:p>
        </w:tc>
      </w:tr>
      <w:tr>
        <w:tc>
          <w:tcPr>
            <w:tcW w:w="1666" w:type="pct"/>
          </w:tcPr>
          <w:p>
            <w:pPr>
              <w:rPr>
                <w:rFonts w:ascii="Arial" w:hAnsi="Arial" w:cs="Arial"/>
                <w:sz w:val="20"/>
                <w:szCs w:val="20"/>
              </w:rPr>
            </w:pPr>
            <w:r>
              <w:rPr>
                <w:rFonts w:ascii="Arial" w:hAnsi="Arial" w:cs="Arial"/>
                <w:sz w:val="20"/>
                <w:szCs w:val="20"/>
              </w:rPr>
              <w:t>9am –1pm</w:t>
            </w:r>
          </w:p>
        </w:tc>
        <w:tc>
          <w:tcPr>
            <w:tcW w:w="1666" w:type="pct"/>
          </w:tcPr>
          <w:p>
            <w:pPr>
              <w:rPr>
                <w:rFonts w:ascii="Arial" w:hAnsi="Arial" w:cs="Arial"/>
                <w:sz w:val="20"/>
                <w:szCs w:val="20"/>
              </w:rPr>
            </w:pPr>
            <w:r>
              <w:rPr>
                <w:rFonts w:ascii="Arial" w:hAnsi="Arial" w:cs="Arial"/>
                <w:sz w:val="20"/>
                <w:szCs w:val="20"/>
              </w:rPr>
              <w:t>History</w:t>
            </w:r>
          </w:p>
        </w:tc>
        <w:tc>
          <w:tcPr>
            <w:tcW w:w="1667" w:type="pct"/>
          </w:tcPr>
          <w:p>
            <w:pPr>
              <w:rPr>
                <w:rFonts w:ascii="Arial" w:hAnsi="Arial" w:cs="Arial"/>
                <w:sz w:val="20"/>
                <w:szCs w:val="20"/>
              </w:rPr>
            </w:pPr>
            <w:r>
              <w:rPr>
                <w:rFonts w:ascii="Arial" w:hAnsi="Arial" w:cs="Arial"/>
                <w:sz w:val="20"/>
                <w:szCs w:val="20"/>
              </w:rPr>
              <w:t>History corridor</w:t>
            </w:r>
          </w:p>
        </w:tc>
      </w:tr>
      <w:tr>
        <w:tc>
          <w:tcPr>
            <w:tcW w:w="1666" w:type="pct"/>
          </w:tcPr>
          <w:p>
            <w:pPr>
              <w:rPr>
                <w:rFonts w:ascii="Arial" w:hAnsi="Arial" w:cs="Arial"/>
                <w:sz w:val="20"/>
                <w:szCs w:val="20"/>
              </w:rPr>
            </w:pPr>
            <w:r>
              <w:rPr>
                <w:rFonts w:ascii="Arial" w:hAnsi="Arial" w:cs="Arial"/>
                <w:sz w:val="20"/>
                <w:szCs w:val="20"/>
              </w:rPr>
              <w:t>9am –1pm</w:t>
            </w:r>
          </w:p>
        </w:tc>
        <w:tc>
          <w:tcPr>
            <w:tcW w:w="1666" w:type="pct"/>
          </w:tcPr>
          <w:p>
            <w:pPr>
              <w:rPr>
                <w:rFonts w:ascii="Arial" w:hAnsi="Arial" w:cs="Arial"/>
                <w:sz w:val="20"/>
                <w:szCs w:val="20"/>
              </w:rPr>
            </w:pPr>
            <w:r>
              <w:rPr>
                <w:rFonts w:ascii="Arial" w:hAnsi="Arial" w:cs="Arial"/>
                <w:sz w:val="20"/>
                <w:szCs w:val="20"/>
              </w:rPr>
              <w:t>Languages</w:t>
            </w:r>
          </w:p>
        </w:tc>
        <w:tc>
          <w:tcPr>
            <w:tcW w:w="1667" w:type="pct"/>
          </w:tcPr>
          <w:p>
            <w:pPr>
              <w:rPr>
                <w:rFonts w:ascii="Arial" w:hAnsi="Arial" w:cs="Arial"/>
                <w:sz w:val="20"/>
                <w:szCs w:val="20"/>
              </w:rPr>
            </w:pPr>
            <w:r>
              <w:rPr>
                <w:rFonts w:ascii="Arial" w:hAnsi="Arial" w:cs="Arial"/>
                <w:sz w:val="20"/>
                <w:szCs w:val="20"/>
              </w:rPr>
              <w:t>Languages rooms</w:t>
            </w:r>
          </w:p>
        </w:tc>
      </w:tr>
    </w:tbl>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The programme is aimed at students whose subject teachers have identified as not yet achieving their target grade.  It is an expectation that all students asked to attend the subject sessions do so, unless circumstances do not allow this.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Students will be asked to sign a register in the subjects they attend; which is a legal requirement and will help the school monitor student attendance over these days.  The day will be informal and therefore students do not need to wear school uniform.  It is important to note that students are restricted to the subject areas, which occur on a given day.  This is for health and safety requirements, due to the work and maintenance that takes place over the week.  Students may be required to attend one or more subject sessions in the day.</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The GCSE Support programme is a successful initiative organised by the school.  Please encourage your child to attend.  If you have any queries, then please do not hesitate to contact me at school to resolve any problems as quickly as possible.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Yours sincerely</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Miss R Pennells</w:t>
      </w:r>
    </w:p>
    <w:p>
      <w:pPr>
        <w:jc w:val="both"/>
        <w:rPr>
          <w:rFonts w:ascii="Arial" w:hAnsi="Arial" w:cs="Arial"/>
          <w:b/>
          <w:sz w:val="20"/>
          <w:szCs w:val="20"/>
        </w:rPr>
      </w:pPr>
      <w:r>
        <w:rPr>
          <w:rFonts w:ascii="Arial" w:hAnsi="Arial" w:cs="Arial"/>
          <w:b/>
          <w:sz w:val="20"/>
          <w:szCs w:val="20"/>
        </w:rPr>
        <w:t>Key Stage 4 Achievement Coordinator</w:t>
      </w:r>
      <w:r>
        <w:rPr>
          <w:rFonts w:ascii="Arial" w:hAnsi="Arial" w:cs="Arial"/>
          <w:b/>
          <w:sz w:val="20"/>
          <w:szCs w:val="20"/>
        </w:rPr>
        <w:tab/>
      </w:r>
    </w:p>
    <w:p>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pPr>
        <w:jc w:val="both"/>
        <w:rPr>
          <w:rFonts w:ascii="Arial" w:hAnsi="Arial" w:cs="Arial"/>
          <w:sz w:val="20"/>
          <w:szCs w:val="20"/>
        </w:rPr>
      </w:pPr>
    </w:p>
    <w:sectPr>
      <w:pgSz w:w="11906" w:h="16838" w:code="9"/>
      <w:pgMar w:top="1440"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2A937-D927-4513-B021-257F85FA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1B6E324D</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March 2011</vt:lpstr>
    </vt:vector>
  </TitlesOfParts>
  <Company>HGfL - London Borough of Hillingdon</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zchivers</dc:creator>
  <cp:lastModifiedBy>James, Avril</cp:lastModifiedBy>
  <cp:revision>3</cp:revision>
  <cp:lastPrinted>2015-02-10T12:40:00Z</cp:lastPrinted>
  <dcterms:created xsi:type="dcterms:W3CDTF">2016-01-26T16:09:00Z</dcterms:created>
  <dcterms:modified xsi:type="dcterms:W3CDTF">2016-01-26T16:09:00Z</dcterms:modified>
</cp:coreProperties>
</file>